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0AE" w:rsidRPr="00B75ACE" w:rsidRDefault="002E4FBD" w:rsidP="005C30AE">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FF0000"/>
          <w:sz w:val="72"/>
          <w:szCs w:val="72"/>
        </w:rPr>
        <w:t>Extra Credit 6</w:t>
      </w:r>
      <w:bookmarkStart w:id="0" w:name="_GoBack"/>
      <w:bookmarkEnd w:id="0"/>
    </w:p>
    <w:p w:rsidR="005C30AE" w:rsidRPr="00B75ACE" w:rsidRDefault="005C30AE" w:rsidP="005C30AE">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36"/>
          <w:szCs w:val="36"/>
        </w:rPr>
        <w:t>Science 123</w:t>
      </w:r>
    </w:p>
    <w:p w:rsidR="005C30AE" w:rsidRPr="00824374" w:rsidRDefault="00824374" w:rsidP="005C30AE">
      <w:pPr>
        <w:spacing w:before="100" w:beforeAutospacing="1" w:after="100" w:afterAutospacing="1" w:line="240" w:lineRule="auto"/>
        <w:rPr>
          <w:rFonts w:ascii="Times New Roman" w:eastAsia="Times New Roman" w:hAnsi="Times New Roman" w:cs="Times New Roman"/>
          <w:b/>
          <w:sz w:val="24"/>
          <w:szCs w:val="24"/>
        </w:rPr>
      </w:pPr>
      <w:r w:rsidRPr="00824374">
        <w:rPr>
          <w:rFonts w:ascii="Times New Roman" w:eastAsia="Times New Roman" w:hAnsi="Times New Roman" w:cs="Times New Roman"/>
          <w:b/>
          <w:sz w:val="24"/>
          <w:szCs w:val="24"/>
        </w:rPr>
        <w:t>Discuss how radioactivity is heating the earth.  Be sure to include the radioactive isotopes that are the largest contributors to the heat produced in the interior of the earth.</w:t>
      </w:r>
    </w:p>
    <w:p w:rsid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Keeps the Earth Cooking?” (July 11, 2011)  </w:t>
      </w:r>
      <w:hyperlink r:id="rId4" w:history="1">
        <w:r w:rsidRPr="006B0111">
          <w:rPr>
            <w:rStyle w:val="Hyperlink"/>
            <w:rFonts w:ascii="Times New Roman" w:eastAsia="Times New Roman" w:hAnsi="Times New Roman" w:cs="Times New Roman"/>
            <w:sz w:val="24"/>
            <w:szCs w:val="24"/>
          </w:rPr>
          <w:t>http://earthsky.org/earth/what-keeps-the-earth-cooking</w:t>
        </w:r>
      </w:hyperlink>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 xml:space="preserve">Geologists have used temperature measurements from more than 20,000 boreholes around the world to estimate that some 44 trillion watts (44 terawatts) of heat continually flows from Earth’s interior into space. </w:t>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 xml:space="preserve">Where does that heat come from? While primordial heat left over from the planet’s formation accounts for some heat, the radioactive decay of uranium, thorium, and potassium in Earth’s crust and mantle likely provides half of Earth’s heat, according to scientists participating in the </w:t>
      </w:r>
      <w:proofErr w:type="spellStart"/>
      <w:r w:rsidRPr="005C30AE">
        <w:rPr>
          <w:rFonts w:ascii="Times New Roman" w:eastAsia="Times New Roman" w:hAnsi="Times New Roman" w:cs="Times New Roman"/>
          <w:sz w:val="24"/>
          <w:szCs w:val="24"/>
        </w:rPr>
        <w:t>KamLAND</w:t>
      </w:r>
      <w:proofErr w:type="spellEnd"/>
      <w:r w:rsidRPr="005C30AE">
        <w:rPr>
          <w:rFonts w:ascii="Times New Roman" w:eastAsia="Times New Roman" w:hAnsi="Times New Roman" w:cs="Times New Roman"/>
          <w:sz w:val="24"/>
          <w:szCs w:val="24"/>
        </w:rPr>
        <w:t xml:space="preserve"> (</w:t>
      </w:r>
      <w:proofErr w:type="spellStart"/>
      <w:r w:rsidRPr="005C30AE">
        <w:rPr>
          <w:rFonts w:ascii="Times New Roman" w:eastAsia="Times New Roman" w:hAnsi="Times New Roman" w:cs="Times New Roman"/>
          <w:sz w:val="24"/>
          <w:szCs w:val="24"/>
        </w:rPr>
        <w:t>Kamioka</w:t>
      </w:r>
      <w:proofErr w:type="spellEnd"/>
      <w:r w:rsidRPr="005C30AE">
        <w:rPr>
          <w:rFonts w:ascii="Times New Roman" w:eastAsia="Times New Roman" w:hAnsi="Times New Roman" w:cs="Times New Roman"/>
          <w:sz w:val="24"/>
          <w:szCs w:val="24"/>
        </w:rPr>
        <w:t xml:space="preserve"> Liquid-scintillator Antineutrino Detector) Collaboration. Their new </w:t>
      </w:r>
      <w:hyperlink r:id="rId5" w:history="1">
        <w:r w:rsidRPr="005C30AE">
          <w:rPr>
            <w:rFonts w:ascii="Times New Roman" w:eastAsia="Times New Roman" w:hAnsi="Times New Roman" w:cs="Times New Roman"/>
            <w:color w:val="0000FF"/>
            <w:sz w:val="24"/>
            <w:szCs w:val="24"/>
            <w:u w:val="single"/>
          </w:rPr>
          <w:t>measurements</w:t>
        </w:r>
      </w:hyperlink>
      <w:r w:rsidRPr="005C30AE">
        <w:rPr>
          <w:rFonts w:ascii="Times New Roman" w:eastAsia="Times New Roman" w:hAnsi="Times New Roman" w:cs="Times New Roman"/>
          <w:sz w:val="24"/>
          <w:szCs w:val="24"/>
        </w:rPr>
        <w:t xml:space="preserve"> appear in the July 17, 2011 online issue of </w:t>
      </w:r>
      <w:r w:rsidRPr="005C30AE">
        <w:rPr>
          <w:rFonts w:ascii="Times New Roman" w:eastAsia="Times New Roman" w:hAnsi="Times New Roman" w:cs="Times New Roman"/>
          <w:i/>
          <w:iCs/>
          <w:sz w:val="24"/>
          <w:szCs w:val="24"/>
        </w:rPr>
        <w:t>Nature Geoscience</w:t>
      </w:r>
      <w:r w:rsidRPr="005C30AE">
        <w:rPr>
          <w:rFonts w:ascii="Times New Roman" w:eastAsia="Times New Roman" w:hAnsi="Times New Roman" w:cs="Times New Roman"/>
          <w:sz w:val="24"/>
          <w:szCs w:val="24"/>
        </w:rPr>
        <w:t>.</w:t>
      </w:r>
    </w:p>
    <w:p w:rsidR="005C30AE" w:rsidRPr="005C30AE" w:rsidRDefault="005C30AE" w:rsidP="005C30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1905000" cy="1905000"/>
            <wp:effectExtent l="0" t="0" r="0" b="0"/>
            <wp:docPr id="3" name="Picture 3" descr="http://en.esimg.org/upl/2011/07/Earth_interior.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esimg.org/upl/2011/07/Earth_interior.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 xml:space="preserve">A main source of the 44 trillion watts of heat that flows from the interior of the Earth is the decay of radioactive isotopes in the mantle and crust. Scientists using the </w:t>
      </w:r>
      <w:proofErr w:type="spellStart"/>
      <w:r w:rsidRPr="005C30AE">
        <w:rPr>
          <w:rFonts w:ascii="Times New Roman" w:eastAsia="Times New Roman" w:hAnsi="Times New Roman" w:cs="Times New Roman"/>
          <w:sz w:val="24"/>
          <w:szCs w:val="24"/>
        </w:rPr>
        <w:t>KamLAND</w:t>
      </w:r>
      <w:proofErr w:type="spellEnd"/>
      <w:r w:rsidRPr="005C30AE">
        <w:rPr>
          <w:rFonts w:ascii="Times New Roman" w:eastAsia="Times New Roman" w:hAnsi="Times New Roman" w:cs="Times New Roman"/>
          <w:sz w:val="24"/>
          <w:szCs w:val="24"/>
        </w:rPr>
        <w:t xml:space="preserve"> neutrino detector in Japan have measured how much heat is generated this way by capturing </w:t>
      </w:r>
      <w:proofErr w:type="spellStart"/>
      <w:r w:rsidRPr="005C30AE">
        <w:rPr>
          <w:rFonts w:ascii="Times New Roman" w:eastAsia="Times New Roman" w:hAnsi="Times New Roman" w:cs="Times New Roman"/>
          <w:sz w:val="24"/>
          <w:szCs w:val="24"/>
        </w:rPr>
        <w:t>geoneutrinos</w:t>
      </w:r>
      <w:proofErr w:type="spellEnd"/>
      <w:r w:rsidRPr="005C30AE">
        <w:rPr>
          <w:rFonts w:ascii="Times New Roman" w:eastAsia="Times New Roman" w:hAnsi="Times New Roman" w:cs="Times New Roman"/>
          <w:sz w:val="24"/>
          <w:szCs w:val="24"/>
        </w:rPr>
        <w:t xml:space="preserve"> released during radioactive decay. Image Credit: Lawrence Berkeley National Laboratory</w:t>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 xml:space="preserve">In 2005, scientists based in Japan first showed there was a way to measure the radioactive decay in Earth’s crust and mantle by catching </w:t>
      </w:r>
      <w:proofErr w:type="spellStart"/>
      <w:r w:rsidRPr="005C30AE">
        <w:rPr>
          <w:rFonts w:ascii="Times New Roman" w:eastAsia="Times New Roman" w:hAnsi="Times New Roman" w:cs="Times New Roman"/>
          <w:sz w:val="24"/>
          <w:szCs w:val="24"/>
        </w:rPr>
        <w:t>geoneutrinos</w:t>
      </w:r>
      <w:proofErr w:type="spellEnd"/>
      <w:r w:rsidRPr="005C30AE">
        <w:rPr>
          <w:rFonts w:ascii="Times New Roman" w:eastAsia="Times New Roman" w:hAnsi="Times New Roman" w:cs="Times New Roman"/>
          <w:sz w:val="24"/>
          <w:szCs w:val="24"/>
        </w:rPr>
        <w:t xml:space="preserve"> (geologically produced antineutrinos) – more precisely, </w:t>
      </w:r>
      <w:proofErr w:type="spellStart"/>
      <w:r w:rsidRPr="005C30AE">
        <w:rPr>
          <w:rFonts w:ascii="Times New Roman" w:eastAsia="Times New Roman" w:hAnsi="Times New Roman" w:cs="Times New Roman"/>
          <w:sz w:val="24"/>
          <w:szCs w:val="24"/>
        </w:rPr>
        <w:t>geoantineutrinos</w:t>
      </w:r>
      <w:proofErr w:type="spellEnd"/>
      <w:r w:rsidRPr="005C30AE">
        <w:rPr>
          <w:rFonts w:ascii="Times New Roman" w:eastAsia="Times New Roman" w:hAnsi="Times New Roman" w:cs="Times New Roman"/>
          <w:sz w:val="24"/>
          <w:szCs w:val="24"/>
        </w:rPr>
        <w:t xml:space="preserve"> – emitted when </w:t>
      </w:r>
      <w:hyperlink r:id="rId8" w:tgtFrame="_blank" w:history="1">
        <w:r w:rsidRPr="005C30AE">
          <w:rPr>
            <w:rFonts w:ascii="Times New Roman" w:eastAsia="Times New Roman" w:hAnsi="Times New Roman" w:cs="Times New Roman"/>
            <w:color w:val="0000FF"/>
            <w:sz w:val="24"/>
            <w:szCs w:val="24"/>
            <w:u w:val="single"/>
          </w:rPr>
          <w:t>radioactive isotopes</w:t>
        </w:r>
      </w:hyperlink>
      <w:r w:rsidRPr="005C30AE">
        <w:rPr>
          <w:rFonts w:ascii="Times New Roman" w:eastAsia="Times New Roman" w:hAnsi="Times New Roman" w:cs="Times New Roman"/>
          <w:sz w:val="24"/>
          <w:szCs w:val="24"/>
        </w:rPr>
        <w:t xml:space="preserve"> decay.</w:t>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 xml:space="preserve">Antineutrinos (the </w:t>
      </w:r>
      <w:hyperlink r:id="rId9" w:tgtFrame="_blank" w:history="1">
        <w:r w:rsidRPr="005C30AE">
          <w:rPr>
            <w:rFonts w:ascii="Times New Roman" w:eastAsia="Times New Roman" w:hAnsi="Times New Roman" w:cs="Times New Roman"/>
            <w:color w:val="0000FF"/>
            <w:sz w:val="24"/>
            <w:szCs w:val="24"/>
            <w:u w:val="single"/>
          </w:rPr>
          <w:t>antiparticles</w:t>
        </w:r>
      </w:hyperlink>
      <w:r w:rsidRPr="005C30AE">
        <w:rPr>
          <w:rFonts w:ascii="Times New Roman" w:eastAsia="Times New Roman" w:hAnsi="Times New Roman" w:cs="Times New Roman"/>
          <w:sz w:val="24"/>
          <w:szCs w:val="24"/>
        </w:rPr>
        <w:t xml:space="preserve"> to </w:t>
      </w:r>
      <w:hyperlink r:id="rId10" w:tgtFrame="_blank" w:history="1">
        <w:r w:rsidRPr="005C30AE">
          <w:rPr>
            <w:rFonts w:ascii="Times New Roman" w:eastAsia="Times New Roman" w:hAnsi="Times New Roman" w:cs="Times New Roman"/>
            <w:color w:val="0000FF"/>
            <w:sz w:val="24"/>
            <w:szCs w:val="24"/>
            <w:u w:val="single"/>
          </w:rPr>
          <w:t>neutrinos</w:t>
        </w:r>
      </w:hyperlink>
      <w:r w:rsidRPr="005C30AE">
        <w:rPr>
          <w:rFonts w:ascii="Times New Roman" w:eastAsia="Times New Roman" w:hAnsi="Times New Roman" w:cs="Times New Roman"/>
          <w:sz w:val="24"/>
          <w:szCs w:val="24"/>
        </w:rPr>
        <w:t xml:space="preserve">) are produced not only in the decay of uranium, thorium, and potassium isotopes but in the fission products of nuclear power reactors. In fact, </w:t>
      </w:r>
      <w:r w:rsidRPr="005C30AE">
        <w:rPr>
          <w:rFonts w:ascii="Times New Roman" w:eastAsia="Times New Roman" w:hAnsi="Times New Roman" w:cs="Times New Roman"/>
          <w:sz w:val="24"/>
          <w:szCs w:val="24"/>
        </w:rPr>
        <w:lastRenderedPageBreak/>
        <w:t>reactor-produced antineutrinos were the first neutrinos directly detected (neutrinos and antineutrinos are distinguished from each other by the interactions in which they appear).</w:t>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 xml:space="preserve">Neutrinos stream through the Earth as if it were transparent. This makes them hard to spot, but on the very rare occasions when an antineutrino collides with a proton inside the </w:t>
      </w:r>
      <w:proofErr w:type="spellStart"/>
      <w:r w:rsidRPr="005C30AE">
        <w:rPr>
          <w:rFonts w:ascii="Times New Roman" w:eastAsia="Times New Roman" w:hAnsi="Times New Roman" w:cs="Times New Roman"/>
          <w:sz w:val="24"/>
          <w:szCs w:val="24"/>
        </w:rPr>
        <w:t>KamLAND</w:t>
      </w:r>
      <w:proofErr w:type="spellEnd"/>
      <w:r w:rsidRPr="005C30AE">
        <w:rPr>
          <w:rFonts w:ascii="Times New Roman" w:eastAsia="Times New Roman" w:hAnsi="Times New Roman" w:cs="Times New Roman"/>
          <w:sz w:val="24"/>
          <w:szCs w:val="24"/>
        </w:rPr>
        <w:t xml:space="preserve"> detector – a sphere filled with a thousand metric tons of scintillating mineral oil – it produces an unmistakable double signal.</w:t>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 xml:space="preserve">Being surrounded by nuclear reactors in Japan means </w:t>
      </w:r>
      <w:proofErr w:type="spellStart"/>
      <w:r w:rsidRPr="005C30AE">
        <w:rPr>
          <w:rFonts w:ascii="Times New Roman" w:eastAsia="Times New Roman" w:hAnsi="Times New Roman" w:cs="Times New Roman"/>
          <w:sz w:val="24"/>
          <w:szCs w:val="24"/>
        </w:rPr>
        <w:t>KamLAND’s</w:t>
      </w:r>
      <w:proofErr w:type="spellEnd"/>
      <w:r w:rsidRPr="005C30AE">
        <w:rPr>
          <w:rFonts w:ascii="Times New Roman" w:eastAsia="Times New Roman" w:hAnsi="Times New Roman" w:cs="Times New Roman"/>
          <w:sz w:val="24"/>
          <w:szCs w:val="24"/>
        </w:rPr>
        <w:t xml:space="preserve"> background events from reactor antineutrinos must also be accounted for in identifying </w:t>
      </w:r>
      <w:proofErr w:type="spellStart"/>
      <w:r w:rsidRPr="005C30AE">
        <w:rPr>
          <w:rFonts w:ascii="Times New Roman" w:eastAsia="Times New Roman" w:hAnsi="Times New Roman" w:cs="Times New Roman"/>
          <w:sz w:val="24"/>
          <w:szCs w:val="24"/>
        </w:rPr>
        <w:t>geoneutrino</w:t>
      </w:r>
      <w:proofErr w:type="spellEnd"/>
      <w:r w:rsidRPr="005C30AE">
        <w:rPr>
          <w:rFonts w:ascii="Times New Roman" w:eastAsia="Times New Roman" w:hAnsi="Times New Roman" w:cs="Times New Roman"/>
          <w:sz w:val="24"/>
          <w:szCs w:val="24"/>
        </w:rPr>
        <w:t xml:space="preserve"> events. This is done by identifying the nuclear-plant antineutrinos by their characteristic energies and other factors, such as their varying rates of production versus the steady arrival of </w:t>
      </w:r>
      <w:proofErr w:type="spellStart"/>
      <w:r w:rsidRPr="005C30AE">
        <w:rPr>
          <w:rFonts w:ascii="Times New Roman" w:eastAsia="Times New Roman" w:hAnsi="Times New Roman" w:cs="Times New Roman"/>
          <w:sz w:val="24"/>
          <w:szCs w:val="24"/>
        </w:rPr>
        <w:t>geoneutrinos</w:t>
      </w:r>
      <w:proofErr w:type="spellEnd"/>
      <w:r w:rsidRPr="005C30AE">
        <w:rPr>
          <w:rFonts w:ascii="Times New Roman" w:eastAsia="Times New Roman" w:hAnsi="Times New Roman" w:cs="Times New Roman"/>
          <w:sz w:val="24"/>
          <w:szCs w:val="24"/>
        </w:rPr>
        <w:t xml:space="preserve">. Reactor antineutrinos are calculated and subtracted from the total. What’s left are the </w:t>
      </w:r>
      <w:proofErr w:type="spellStart"/>
      <w:r w:rsidRPr="005C30AE">
        <w:rPr>
          <w:rFonts w:ascii="Times New Roman" w:eastAsia="Times New Roman" w:hAnsi="Times New Roman" w:cs="Times New Roman"/>
          <w:sz w:val="24"/>
          <w:szCs w:val="24"/>
        </w:rPr>
        <w:t>geoneutrinos</w:t>
      </w:r>
      <w:proofErr w:type="spellEnd"/>
      <w:r w:rsidRPr="005C30AE">
        <w:rPr>
          <w:rFonts w:ascii="Times New Roman" w:eastAsia="Times New Roman" w:hAnsi="Times New Roman" w:cs="Times New Roman"/>
          <w:sz w:val="24"/>
          <w:szCs w:val="24"/>
        </w:rPr>
        <w:t>.</w:t>
      </w:r>
    </w:p>
    <w:p w:rsidR="005C30AE" w:rsidRPr="005C30AE" w:rsidRDefault="005C30AE" w:rsidP="005C30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2857500" cy="1981200"/>
            <wp:effectExtent l="0" t="0" r="0" b="0"/>
            <wp:docPr id="2" name="Picture 2" descr="http://en.esimg.org/upl/2011/07/KamLAND_antineutrino_detector.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n.esimg.org/upl/2011/07/KamLAND_antineutrino_detector.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981200"/>
                    </a:xfrm>
                    <a:prstGeom prst="rect">
                      <a:avLst/>
                    </a:prstGeom>
                    <a:noFill/>
                    <a:ln>
                      <a:noFill/>
                    </a:ln>
                  </pic:spPr>
                </pic:pic>
              </a:graphicData>
            </a:graphic>
          </wp:inline>
        </w:drawing>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 xml:space="preserve">The </w:t>
      </w:r>
      <w:proofErr w:type="spellStart"/>
      <w:r w:rsidRPr="005C30AE">
        <w:rPr>
          <w:rFonts w:ascii="Times New Roman" w:eastAsia="Times New Roman" w:hAnsi="Times New Roman" w:cs="Times New Roman"/>
          <w:sz w:val="24"/>
          <w:szCs w:val="24"/>
        </w:rPr>
        <w:t>KamLAND</w:t>
      </w:r>
      <w:proofErr w:type="spellEnd"/>
      <w:r w:rsidRPr="005C30AE">
        <w:rPr>
          <w:rFonts w:ascii="Times New Roman" w:eastAsia="Times New Roman" w:hAnsi="Times New Roman" w:cs="Times New Roman"/>
          <w:sz w:val="24"/>
          <w:szCs w:val="24"/>
        </w:rPr>
        <w:t xml:space="preserve"> anti-neutrino detector is a vessel filled with scintillating mineral oil and lined with photomultiplier tubes (inset), the largest scintillation detector ever constructed, buried deep underground near Toyama, Japan. Image Credit: </w:t>
      </w:r>
      <w:proofErr w:type="spellStart"/>
      <w:r w:rsidRPr="005C30AE">
        <w:rPr>
          <w:rFonts w:ascii="Times New Roman" w:eastAsia="Times New Roman" w:hAnsi="Times New Roman" w:cs="Times New Roman"/>
          <w:sz w:val="24"/>
          <w:szCs w:val="24"/>
        </w:rPr>
        <w:t>KamLAND</w:t>
      </w:r>
      <w:proofErr w:type="spellEnd"/>
      <w:r w:rsidRPr="005C30AE">
        <w:rPr>
          <w:rFonts w:ascii="Times New Roman" w:eastAsia="Times New Roman" w:hAnsi="Times New Roman" w:cs="Times New Roman"/>
          <w:sz w:val="24"/>
          <w:szCs w:val="24"/>
        </w:rPr>
        <w:t xml:space="preserve"> Collaboration</w:t>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 xml:space="preserve">All models of the inner Earth depend on indirect evidence. Leading models of the kind known as </w:t>
      </w:r>
      <w:r w:rsidRPr="005C30AE">
        <w:rPr>
          <w:rFonts w:ascii="Times New Roman" w:eastAsia="Times New Roman" w:hAnsi="Times New Roman" w:cs="Times New Roman"/>
          <w:i/>
          <w:iCs/>
          <w:sz w:val="24"/>
          <w:szCs w:val="24"/>
        </w:rPr>
        <w:t>bulk silicate Earth</w:t>
      </w:r>
      <w:r w:rsidRPr="005C30AE">
        <w:rPr>
          <w:rFonts w:ascii="Times New Roman" w:eastAsia="Times New Roman" w:hAnsi="Times New Roman" w:cs="Times New Roman"/>
          <w:sz w:val="24"/>
          <w:szCs w:val="24"/>
        </w:rPr>
        <w:t xml:space="preserve"> (BSE) assume that the mantle and crust contain only </w:t>
      </w:r>
      <w:proofErr w:type="spellStart"/>
      <w:r w:rsidRPr="005C30AE">
        <w:rPr>
          <w:rFonts w:ascii="Times New Roman" w:eastAsia="Times New Roman" w:hAnsi="Times New Roman" w:cs="Times New Roman"/>
          <w:sz w:val="24"/>
          <w:szCs w:val="24"/>
        </w:rPr>
        <w:t>lithophiles</w:t>
      </w:r>
      <w:proofErr w:type="spellEnd"/>
      <w:r w:rsidRPr="005C30AE">
        <w:rPr>
          <w:rFonts w:ascii="Times New Roman" w:eastAsia="Times New Roman" w:hAnsi="Times New Roman" w:cs="Times New Roman"/>
          <w:sz w:val="24"/>
          <w:szCs w:val="24"/>
        </w:rPr>
        <w:t xml:space="preserve"> (elements that “love rocks”) and the core contains only </w:t>
      </w:r>
      <w:proofErr w:type="spellStart"/>
      <w:r w:rsidRPr="005C30AE">
        <w:rPr>
          <w:rFonts w:ascii="Times New Roman" w:eastAsia="Times New Roman" w:hAnsi="Times New Roman" w:cs="Times New Roman"/>
          <w:sz w:val="24"/>
          <w:szCs w:val="24"/>
        </w:rPr>
        <w:t>siderophiles</w:t>
      </w:r>
      <w:proofErr w:type="spellEnd"/>
      <w:r w:rsidRPr="005C30AE">
        <w:rPr>
          <w:rFonts w:ascii="Times New Roman" w:eastAsia="Times New Roman" w:hAnsi="Times New Roman" w:cs="Times New Roman"/>
          <w:sz w:val="24"/>
          <w:szCs w:val="24"/>
        </w:rPr>
        <w:t xml:space="preserve"> (elements that “like to be with iron”). Thus all the heat from radioactive decay in these types of models would come from the crust and mantle – about eight terawatts from uranium 238 (238U), another eight terawatts from thorium 232 (232Th), and four terawatts from potassium 40 (40K).</w:t>
      </w:r>
    </w:p>
    <w:p w:rsidR="005C30AE" w:rsidRPr="005C30AE" w:rsidRDefault="005C30AE" w:rsidP="005C30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lastRenderedPageBreak/>
        <w:drawing>
          <wp:inline distT="0" distB="0" distL="0" distR="0">
            <wp:extent cx="2857500" cy="1933575"/>
            <wp:effectExtent l="0" t="0" r="0" b="9525"/>
            <wp:docPr id="1" name="Picture 1" descr="http://en.esimg.org/upl/2011/07/KamLAND_schematic.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n.esimg.org/upl/2011/07/KamLAND_schematic.pn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933575"/>
                    </a:xfrm>
                    <a:prstGeom prst="rect">
                      <a:avLst/>
                    </a:prstGeom>
                    <a:noFill/>
                    <a:ln>
                      <a:noFill/>
                    </a:ln>
                  </pic:spPr>
                </pic:pic>
              </a:graphicData>
            </a:graphic>
          </wp:inline>
        </w:drawing>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proofErr w:type="spellStart"/>
      <w:r w:rsidRPr="005C30AE">
        <w:rPr>
          <w:rFonts w:ascii="Times New Roman" w:eastAsia="Times New Roman" w:hAnsi="Times New Roman" w:cs="Times New Roman"/>
          <w:sz w:val="24"/>
          <w:szCs w:val="24"/>
        </w:rPr>
        <w:t>KamLAND</w:t>
      </w:r>
      <w:proofErr w:type="spellEnd"/>
      <w:r w:rsidRPr="005C30AE">
        <w:rPr>
          <w:rFonts w:ascii="Times New Roman" w:eastAsia="Times New Roman" w:hAnsi="Times New Roman" w:cs="Times New Roman"/>
          <w:sz w:val="24"/>
          <w:szCs w:val="24"/>
        </w:rPr>
        <w:t xml:space="preserve"> detector schematic. Via Wikipedia</w:t>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proofErr w:type="spellStart"/>
      <w:r w:rsidRPr="005C30AE">
        <w:rPr>
          <w:rFonts w:ascii="Times New Roman" w:eastAsia="Times New Roman" w:hAnsi="Times New Roman" w:cs="Times New Roman"/>
          <w:sz w:val="24"/>
          <w:szCs w:val="24"/>
        </w:rPr>
        <w:t>KamLAND</w:t>
      </w:r>
      <w:proofErr w:type="spellEnd"/>
      <w:r w:rsidRPr="005C30AE">
        <w:rPr>
          <w:rFonts w:ascii="Times New Roman" w:eastAsia="Times New Roman" w:hAnsi="Times New Roman" w:cs="Times New Roman"/>
          <w:sz w:val="24"/>
          <w:szCs w:val="24"/>
        </w:rPr>
        <w:t xml:space="preserve"> detected 841 candidate antineutrino events between March of 2002 and November of 2009, of which about 730 were reactor events or other background. The rest, about 111, were from radioactive decay of uranium and thorium in the Earth. Using data from another experiment in Italy, the researchers were able to calculate the contribution of uranium and thorium to Earth’s heat production. The answer was about 20 terawatts, plus an estimated three terawatts coming from other isotope decays.</w:t>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This is more heat energy than the most popular BSE model suggests, but still far less than Earth’s total. Stuart Freedman of the U.S. Department of Energy’s Lawrence Berkeley National Laboratory, explained:</w:t>
      </w:r>
    </w:p>
    <w:p w:rsidR="005C30AE" w:rsidRPr="005C30AE" w:rsidRDefault="005C30AE" w:rsidP="005C30AE">
      <w:pPr>
        <w:spacing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One thing we can say with near certainty is that radioactive decay alone is not enough to account for Earth’s heat energy. Whether the rest is primordial heat or comes from some other source is an unanswered question.</w:t>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 xml:space="preserve">Better models are likely to result when many more </w:t>
      </w:r>
      <w:proofErr w:type="spellStart"/>
      <w:r w:rsidRPr="005C30AE">
        <w:rPr>
          <w:rFonts w:ascii="Times New Roman" w:eastAsia="Times New Roman" w:hAnsi="Times New Roman" w:cs="Times New Roman"/>
          <w:sz w:val="24"/>
          <w:szCs w:val="24"/>
        </w:rPr>
        <w:t>geoneutrino</w:t>
      </w:r>
      <w:proofErr w:type="spellEnd"/>
      <w:r w:rsidRPr="005C30AE">
        <w:rPr>
          <w:rFonts w:ascii="Times New Roman" w:eastAsia="Times New Roman" w:hAnsi="Times New Roman" w:cs="Times New Roman"/>
          <w:sz w:val="24"/>
          <w:szCs w:val="24"/>
        </w:rPr>
        <w:t xml:space="preserve"> detectors are located in different places around the globe, including mid-ocean islands where the crust is thin and local concentrations of radioactivity (not to mention nuclear reactors) are at a minimum.</w:t>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Freeman said:</w:t>
      </w:r>
    </w:p>
    <w:p w:rsidR="005C30AE" w:rsidRPr="005C30AE" w:rsidRDefault="005C30AE" w:rsidP="005C30AE">
      <w:pPr>
        <w:spacing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This is what’s called an inverse problem, where you have a lot of information but also a lot of complicated inputs and variables. Sorting those out to arrive at the best explanation among many requires multiple sources of data.</w:t>
      </w:r>
    </w:p>
    <w:p w:rsidR="005C30AE" w:rsidRPr="005C30AE" w:rsidRDefault="005C30AE" w:rsidP="005C30AE">
      <w:pPr>
        <w:spacing w:before="100" w:beforeAutospacing="1" w:after="100" w:afterAutospacing="1" w:line="240" w:lineRule="auto"/>
        <w:rPr>
          <w:rFonts w:ascii="Times New Roman" w:eastAsia="Times New Roman" w:hAnsi="Times New Roman" w:cs="Times New Roman"/>
          <w:sz w:val="24"/>
          <w:szCs w:val="24"/>
        </w:rPr>
      </w:pPr>
      <w:r w:rsidRPr="005C30AE">
        <w:rPr>
          <w:rFonts w:ascii="Times New Roman" w:eastAsia="Times New Roman" w:hAnsi="Times New Roman" w:cs="Times New Roman"/>
          <w:sz w:val="24"/>
          <w:szCs w:val="24"/>
        </w:rPr>
        <w:t xml:space="preserve">Bottom line: The radioactive decay of uranium, thorium and potassium in Earth’s crust and mantle likely provides half of Earth’s heat, according to scientists participating in the </w:t>
      </w:r>
      <w:proofErr w:type="spellStart"/>
      <w:r w:rsidRPr="005C30AE">
        <w:rPr>
          <w:rFonts w:ascii="Times New Roman" w:eastAsia="Times New Roman" w:hAnsi="Times New Roman" w:cs="Times New Roman"/>
          <w:sz w:val="24"/>
          <w:szCs w:val="24"/>
        </w:rPr>
        <w:t>KamLAND</w:t>
      </w:r>
      <w:proofErr w:type="spellEnd"/>
      <w:r w:rsidRPr="005C30AE">
        <w:rPr>
          <w:rFonts w:ascii="Times New Roman" w:eastAsia="Times New Roman" w:hAnsi="Times New Roman" w:cs="Times New Roman"/>
          <w:sz w:val="24"/>
          <w:szCs w:val="24"/>
        </w:rPr>
        <w:t xml:space="preserve"> (</w:t>
      </w:r>
      <w:proofErr w:type="spellStart"/>
      <w:r w:rsidRPr="005C30AE">
        <w:rPr>
          <w:rFonts w:ascii="Times New Roman" w:eastAsia="Times New Roman" w:hAnsi="Times New Roman" w:cs="Times New Roman"/>
          <w:sz w:val="24"/>
          <w:szCs w:val="24"/>
        </w:rPr>
        <w:t>Kamioka</w:t>
      </w:r>
      <w:proofErr w:type="spellEnd"/>
      <w:r w:rsidRPr="005C30AE">
        <w:rPr>
          <w:rFonts w:ascii="Times New Roman" w:eastAsia="Times New Roman" w:hAnsi="Times New Roman" w:cs="Times New Roman"/>
          <w:sz w:val="24"/>
          <w:szCs w:val="24"/>
        </w:rPr>
        <w:t xml:space="preserve"> Liquid-scintillator Antineutrino Detector) Collaboration. Their new measurements appear in the July 17, 2011 online issue of </w:t>
      </w:r>
      <w:r w:rsidRPr="005C30AE">
        <w:rPr>
          <w:rFonts w:ascii="Times New Roman" w:eastAsia="Times New Roman" w:hAnsi="Times New Roman" w:cs="Times New Roman"/>
          <w:i/>
          <w:iCs/>
          <w:sz w:val="24"/>
          <w:szCs w:val="24"/>
        </w:rPr>
        <w:t>Nature Geoscience</w:t>
      </w:r>
      <w:r w:rsidRPr="005C30AE">
        <w:rPr>
          <w:rFonts w:ascii="Times New Roman" w:eastAsia="Times New Roman" w:hAnsi="Times New Roman" w:cs="Times New Roman"/>
          <w:sz w:val="24"/>
          <w:szCs w:val="24"/>
        </w:rPr>
        <w:t>.</w:t>
      </w:r>
    </w:p>
    <w:p w:rsidR="00140146" w:rsidRDefault="002E4FBD"/>
    <w:sectPr w:rsidR="001401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0AE"/>
    <w:rsid w:val="00090177"/>
    <w:rsid w:val="000C18C5"/>
    <w:rsid w:val="002A6624"/>
    <w:rsid w:val="002E4FBD"/>
    <w:rsid w:val="005C30AE"/>
    <w:rsid w:val="006F6B59"/>
    <w:rsid w:val="007E3BC9"/>
    <w:rsid w:val="00824374"/>
    <w:rsid w:val="008247D1"/>
    <w:rsid w:val="00A33FFB"/>
    <w:rsid w:val="00B37F63"/>
    <w:rsid w:val="00DF5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05454"/>
  <w15:docId w15:val="{06A62DC7-441B-4E8B-8B2C-7E75320DE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30A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C30AE"/>
    <w:rPr>
      <w:color w:val="0000FF"/>
      <w:u w:val="single"/>
    </w:rPr>
  </w:style>
  <w:style w:type="character" w:styleId="Emphasis">
    <w:name w:val="Emphasis"/>
    <w:basedOn w:val="DefaultParagraphFont"/>
    <w:uiPriority w:val="20"/>
    <w:qFormat/>
    <w:rsid w:val="005C30AE"/>
    <w:rPr>
      <w:i/>
      <w:iCs/>
    </w:rPr>
  </w:style>
  <w:style w:type="paragraph" w:customStyle="1" w:styleId="wp-caption-text">
    <w:name w:val="wp-caption-text"/>
    <w:basedOn w:val="Normal"/>
    <w:rsid w:val="005C30A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C30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0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675335">
      <w:bodyDiv w:val="1"/>
      <w:marLeft w:val="0"/>
      <w:marRight w:val="0"/>
      <w:marTop w:val="0"/>
      <w:marBottom w:val="0"/>
      <w:divBdr>
        <w:top w:val="none" w:sz="0" w:space="0" w:color="auto"/>
        <w:left w:val="none" w:sz="0" w:space="0" w:color="auto"/>
        <w:bottom w:val="none" w:sz="0" w:space="0" w:color="auto"/>
        <w:right w:val="none" w:sz="0" w:space="0" w:color="auto"/>
      </w:divBdr>
      <w:divsChild>
        <w:div w:id="1548953017">
          <w:marLeft w:val="0"/>
          <w:marRight w:val="0"/>
          <w:marTop w:val="0"/>
          <w:marBottom w:val="0"/>
          <w:divBdr>
            <w:top w:val="none" w:sz="0" w:space="0" w:color="auto"/>
            <w:left w:val="none" w:sz="0" w:space="0" w:color="auto"/>
            <w:bottom w:val="none" w:sz="0" w:space="0" w:color="auto"/>
            <w:right w:val="none" w:sz="0" w:space="0" w:color="auto"/>
          </w:divBdr>
          <w:divsChild>
            <w:div w:id="909312236">
              <w:marLeft w:val="0"/>
              <w:marRight w:val="0"/>
              <w:marTop w:val="0"/>
              <w:marBottom w:val="0"/>
              <w:divBdr>
                <w:top w:val="none" w:sz="0" w:space="0" w:color="auto"/>
                <w:left w:val="none" w:sz="0" w:space="0" w:color="auto"/>
                <w:bottom w:val="none" w:sz="0" w:space="0" w:color="auto"/>
                <w:right w:val="none" w:sz="0" w:space="0" w:color="auto"/>
              </w:divBdr>
              <w:divsChild>
                <w:div w:id="1475291237">
                  <w:marLeft w:val="0"/>
                  <w:marRight w:val="0"/>
                  <w:marTop w:val="0"/>
                  <w:marBottom w:val="0"/>
                  <w:divBdr>
                    <w:top w:val="none" w:sz="0" w:space="0" w:color="auto"/>
                    <w:left w:val="none" w:sz="0" w:space="0" w:color="auto"/>
                    <w:bottom w:val="none" w:sz="0" w:space="0" w:color="auto"/>
                    <w:right w:val="none" w:sz="0" w:space="0" w:color="auto"/>
                  </w:divBdr>
                  <w:divsChild>
                    <w:div w:id="1863399497">
                      <w:marLeft w:val="0"/>
                      <w:marRight w:val="0"/>
                      <w:marTop w:val="0"/>
                      <w:marBottom w:val="0"/>
                      <w:divBdr>
                        <w:top w:val="none" w:sz="0" w:space="0" w:color="auto"/>
                        <w:left w:val="none" w:sz="0" w:space="0" w:color="auto"/>
                        <w:bottom w:val="none" w:sz="0" w:space="0" w:color="auto"/>
                        <w:right w:val="none" w:sz="0" w:space="0" w:color="auto"/>
                      </w:divBdr>
                      <w:divsChild>
                        <w:div w:id="614677040">
                          <w:marLeft w:val="0"/>
                          <w:marRight w:val="0"/>
                          <w:marTop w:val="0"/>
                          <w:marBottom w:val="0"/>
                          <w:divBdr>
                            <w:top w:val="none" w:sz="0" w:space="0" w:color="auto"/>
                            <w:left w:val="none" w:sz="0" w:space="0" w:color="auto"/>
                            <w:bottom w:val="none" w:sz="0" w:space="0" w:color="auto"/>
                            <w:right w:val="none" w:sz="0" w:space="0" w:color="auto"/>
                          </w:divBdr>
                          <w:divsChild>
                            <w:div w:id="483939078">
                              <w:marLeft w:val="0"/>
                              <w:marRight w:val="0"/>
                              <w:marTop w:val="0"/>
                              <w:marBottom w:val="0"/>
                              <w:divBdr>
                                <w:top w:val="none" w:sz="0" w:space="0" w:color="auto"/>
                                <w:left w:val="none" w:sz="0" w:space="0" w:color="auto"/>
                                <w:bottom w:val="none" w:sz="0" w:space="0" w:color="auto"/>
                                <w:right w:val="none" w:sz="0" w:space="0" w:color="auto"/>
                              </w:divBdr>
                              <w:divsChild>
                                <w:div w:id="443770622">
                                  <w:marLeft w:val="0"/>
                                  <w:marRight w:val="0"/>
                                  <w:marTop w:val="0"/>
                                  <w:marBottom w:val="0"/>
                                  <w:divBdr>
                                    <w:top w:val="none" w:sz="0" w:space="0" w:color="auto"/>
                                    <w:left w:val="none" w:sz="0" w:space="0" w:color="auto"/>
                                    <w:bottom w:val="none" w:sz="0" w:space="0" w:color="auto"/>
                                    <w:right w:val="none" w:sz="0" w:space="0" w:color="auto"/>
                                  </w:divBdr>
                                </w:div>
                                <w:div w:id="1436555971">
                                  <w:marLeft w:val="0"/>
                                  <w:marRight w:val="0"/>
                                  <w:marTop w:val="0"/>
                                  <w:marBottom w:val="0"/>
                                  <w:divBdr>
                                    <w:top w:val="none" w:sz="0" w:space="0" w:color="auto"/>
                                    <w:left w:val="none" w:sz="0" w:space="0" w:color="auto"/>
                                    <w:bottom w:val="none" w:sz="0" w:space="0" w:color="auto"/>
                                    <w:right w:val="none" w:sz="0" w:space="0" w:color="auto"/>
                                  </w:divBdr>
                                </w:div>
                                <w:div w:id="854466852">
                                  <w:marLeft w:val="0"/>
                                  <w:marRight w:val="0"/>
                                  <w:marTop w:val="0"/>
                                  <w:marBottom w:val="0"/>
                                  <w:divBdr>
                                    <w:top w:val="none" w:sz="0" w:space="0" w:color="auto"/>
                                    <w:left w:val="none" w:sz="0" w:space="0" w:color="auto"/>
                                    <w:bottom w:val="none" w:sz="0" w:space="0" w:color="auto"/>
                                    <w:right w:val="none" w:sz="0" w:space="0" w:color="auto"/>
                                  </w:divBdr>
                                </w:div>
                                <w:div w:id="1768690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10814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Radioactive_isotopes" TargetMode="External"/><Relationship Id="rId13" Type="http://schemas.openxmlformats.org/officeDocument/2006/relationships/hyperlink" Target="http://upload.wikimedia.org/wikipedia/en/d/d0/KamLAND_schematic.png"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eurekalert.org/multimedia/pub/34070.php?from=189726" TargetMode="External"/><Relationship Id="rId11" Type="http://schemas.openxmlformats.org/officeDocument/2006/relationships/hyperlink" Target="http://www.eurekalert.org/multimedia/pub/34071.php?from=189726" TargetMode="External"/><Relationship Id="rId5" Type="http://schemas.openxmlformats.org/officeDocument/2006/relationships/hyperlink" Target="http://www.nature.com/ngeo/journal/vaop/ncurrent/full/ngeo1205.html" TargetMode="External"/><Relationship Id="rId15" Type="http://schemas.openxmlformats.org/officeDocument/2006/relationships/fontTable" Target="fontTable.xml"/><Relationship Id="rId10" Type="http://schemas.openxmlformats.org/officeDocument/2006/relationships/hyperlink" Target="http://en.wikipedia.org/wiki/Neutrinos" TargetMode="External"/><Relationship Id="rId4" Type="http://schemas.openxmlformats.org/officeDocument/2006/relationships/hyperlink" Target="http://earthsky.org/earth/what-keeps-the-earth-cooking" TargetMode="External"/><Relationship Id="rId9" Type="http://schemas.openxmlformats.org/officeDocument/2006/relationships/hyperlink" Target="http://en.wikipedia.org/wiki/Antiparticle"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David Boram</dc:creator>
  <cp:lastModifiedBy>Robert David Boram</cp:lastModifiedBy>
  <cp:revision>2</cp:revision>
  <dcterms:created xsi:type="dcterms:W3CDTF">2017-11-08T22:28:00Z</dcterms:created>
  <dcterms:modified xsi:type="dcterms:W3CDTF">2017-11-08T22:28:00Z</dcterms:modified>
</cp:coreProperties>
</file>